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 w:cs="Times New Roman"/>
          <w:b/>
          <w:kern w:val="0"/>
          <w:szCs w:val="21"/>
        </w:rPr>
      </w:pPr>
      <w:r>
        <w:rPr>
          <w:rFonts w:hint="eastAsia" w:ascii="微软雅黑" w:hAnsi="微软雅黑" w:eastAsia="微软雅黑" w:cs="Times New Roman"/>
          <w:b/>
          <w:kern w:val="0"/>
          <w:szCs w:val="21"/>
        </w:rPr>
        <w:t>封面：</w:t>
      </w:r>
    </w:p>
    <w:p>
      <w:pPr>
        <w:rPr>
          <w:rFonts w:ascii="微软雅黑" w:hAnsi="微软雅黑" w:eastAsia="微软雅黑" w:cs="Times New Roman"/>
          <w:b/>
          <w:kern w:val="0"/>
          <w:szCs w:val="21"/>
        </w:rPr>
      </w:pPr>
      <w:r>
        <w:drawing>
          <wp:inline distT="0" distB="0" distL="0" distR="0">
            <wp:extent cx="5274310" cy="7460615"/>
            <wp:effectExtent l="0" t="0" r="8890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60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center"/>
        <w:rPr>
          <w:rFonts w:ascii="微软雅黑" w:hAnsi="微软雅黑" w:eastAsia="微软雅黑" w:cs="微软雅黑"/>
          <w:bCs/>
          <w:color w:val="FF0000"/>
          <w:kern w:val="0"/>
          <w:szCs w:val="21"/>
          <w:lang w:bidi="ar"/>
        </w:rPr>
      </w:pPr>
      <w:r>
        <w:drawing>
          <wp:inline distT="0" distB="0" distL="0" distR="0">
            <wp:extent cx="5273675" cy="6215380"/>
            <wp:effectExtent l="0" t="0" r="9525" b="762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85231" cy="62292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rPr>
          <w:rFonts w:ascii="宋体" w:hAnsi="宋体" w:eastAsia="宋体" w:cs="微软雅黑"/>
          <w:b/>
          <w:color w:val="7030A0"/>
          <w:kern w:val="0"/>
          <w:sz w:val="28"/>
          <w:szCs w:val="28"/>
          <w:lang w:bidi="ar"/>
        </w:rPr>
      </w:pPr>
    </w:p>
    <w:p>
      <w:pPr>
        <w:widowControl/>
        <w:rPr>
          <w:rFonts w:ascii="宋体" w:hAnsi="宋体" w:eastAsia="宋体" w:cs="微软雅黑"/>
          <w:b/>
          <w:color w:val="7030A0"/>
          <w:kern w:val="0"/>
          <w:sz w:val="30"/>
          <w:szCs w:val="30"/>
          <w:lang w:bidi="ar"/>
        </w:rPr>
      </w:pPr>
      <w:r>
        <w:rPr>
          <w:rFonts w:hint="eastAsia" w:ascii="宋体" w:hAnsi="宋体" w:eastAsia="宋体" w:cs="微软雅黑"/>
          <w:b/>
          <w:color w:val="7030A0"/>
          <w:kern w:val="0"/>
          <w:sz w:val="30"/>
          <w:szCs w:val="30"/>
          <w:lang w:bidi="ar"/>
        </w:rPr>
        <w:t>电脑端看课流程：</w:t>
      </w:r>
    </w:p>
    <w:p>
      <w:pPr>
        <w:widowControl/>
        <w:rPr>
          <w:rFonts w:ascii="宋体" w:hAnsi="宋体" w:eastAsia="宋体" w:cs="微软雅黑"/>
          <w:b/>
          <w:color w:val="7030A0"/>
          <w:kern w:val="0"/>
          <w:sz w:val="30"/>
          <w:szCs w:val="30"/>
          <w:lang w:bidi="ar"/>
        </w:rPr>
      </w:pPr>
      <w:r>
        <w:rPr>
          <w:rFonts w:hint="eastAsia" w:ascii="宋体" w:hAnsi="宋体" w:eastAsia="宋体" w:cs="微软雅黑"/>
          <w:b/>
          <w:color w:val="7030A0"/>
          <w:kern w:val="0"/>
          <w:sz w:val="30"/>
          <w:szCs w:val="30"/>
          <w:lang w:bidi="ar"/>
        </w:rPr>
        <w:t>登录</w:t>
      </w:r>
      <w:r>
        <w:fldChar w:fldCharType="begin"/>
      </w:r>
      <w:r>
        <w:instrText xml:space="preserve"> HYPERLINK "http://www.jinyingjie.com" </w:instrText>
      </w:r>
      <w:r>
        <w:fldChar w:fldCharType="separate"/>
      </w:r>
      <w:r>
        <w:rPr>
          <w:rStyle w:val="8"/>
          <w:rFonts w:hint="eastAsia" w:ascii="宋体" w:hAnsi="宋体" w:eastAsia="宋体" w:cs="微软雅黑"/>
          <w:b/>
          <w:color w:val="7030A0"/>
          <w:kern w:val="0"/>
          <w:sz w:val="30"/>
          <w:szCs w:val="30"/>
          <w:lang w:bidi="ar"/>
        </w:rPr>
        <w:t>www</w:t>
      </w:r>
      <w:r>
        <w:rPr>
          <w:rStyle w:val="8"/>
          <w:rFonts w:ascii="宋体" w:hAnsi="宋体" w:eastAsia="宋体" w:cs="微软雅黑"/>
          <w:b/>
          <w:color w:val="7030A0"/>
          <w:kern w:val="0"/>
          <w:sz w:val="30"/>
          <w:szCs w:val="30"/>
          <w:lang w:bidi="ar"/>
        </w:rPr>
        <w:t>.jinyingjie.com</w:t>
      </w:r>
      <w:r>
        <w:rPr>
          <w:rStyle w:val="8"/>
          <w:rFonts w:ascii="宋体" w:hAnsi="宋体" w:eastAsia="宋体" w:cs="微软雅黑"/>
          <w:b/>
          <w:color w:val="7030A0"/>
          <w:kern w:val="0"/>
          <w:sz w:val="30"/>
          <w:szCs w:val="30"/>
          <w:lang w:bidi="ar"/>
        </w:rPr>
        <w:fldChar w:fldCharType="end"/>
      </w:r>
      <w:r>
        <w:rPr>
          <w:rFonts w:hint="eastAsia" w:ascii="宋体" w:hAnsi="宋体" w:eastAsia="宋体" w:cs="微软雅黑"/>
          <w:b/>
          <w:color w:val="7030A0"/>
          <w:kern w:val="0"/>
          <w:sz w:val="30"/>
          <w:szCs w:val="30"/>
          <w:lang w:bidi="ar"/>
        </w:rPr>
        <w:t>,登录账号和密码，然后进入直播学院端，在“我的课程”里面观看</w:t>
      </w: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72"/>
          <w:szCs w:val="7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84"/>
          <w:szCs w:val="84"/>
          <w:lang w:val="en-US" w:eastAsia="zh-CN" w:bidi="ar"/>
        </w:rPr>
      </w:pPr>
      <w:bookmarkStart w:id="0" w:name="_GoBack"/>
      <w:bookmarkEnd w:id="0"/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84"/>
          <w:szCs w:val="84"/>
          <w:lang w:val="en-US" w:eastAsia="zh-CN" w:bidi="ar"/>
        </w:rPr>
      </w:pPr>
    </w:p>
    <w:p>
      <w:pPr>
        <w:spacing w:line="480" w:lineRule="auto"/>
        <w:jc w:val="center"/>
        <w:rPr>
          <w:rFonts w:ascii="华文仿宋" w:hAnsi="华文仿宋" w:eastAsia="华文仿宋" w:cs="微软雅黑"/>
          <w:b/>
          <w:kern w:val="0"/>
          <w:sz w:val="48"/>
          <w:szCs w:val="48"/>
        </w:rPr>
      </w:pPr>
      <w:r>
        <w:rPr>
          <w:rFonts w:hint="eastAsia" w:ascii="华文仿宋" w:hAnsi="华文仿宋" w:eastAsia="华文仿宋" w:cs="微软雅黑"/>
          <w:b/>
          <w:kern w:val="0"/>
          <w:sz w:val="48"/>
          <w:szCs w:val="48"/>
        </w:rPr>
        <w:t>金英杰直播学院</w:t>
      </w:r>
      <w:r>
        <w:rPr>
          <w:rFonts w:hint="eastAsia" w:ascii="华文仿宋" w:hAnsi="华文仿宋" w:eastAsia="华文仿宋" w:cs="微软雅黑"/>
          <w:b/>
          <w:kern w:val="0"/>
          <w:sz w:val="48"/>
          <w:szCs w:val="48"/>
        </w:rPr>
        <w:br w:type="textWrapping"/>
      </w:r>
      <w:r>
        <w:rPr>
          <w:rFonts w:hint="eastAsia" w:ascii="华文仿宋" w:hAnsi="华文仿宋" w:eastAsia="华文仿宋" w:cs="微软雅黑"/>
          <w:b/>
          <w:kern w:val="0"/>
          <w:sz w:val="48"/>
          <w:szCs w:val="48"/>
        </w:rPr>
        <w:t xml:space="preserve">乡村全科 </w:t>
      </w:r>
    </w:p>
    <w:p>
      <w:pPr>
        <w:spacing w:line="480" w:lineRule="auto"/>
        <w:jc w:val="center"/>
        <w:rPr>
          <w:rFonts w:ascii="华文仿宋" w:hAnsi="华文仿宋" w:eastAsia="华文仿宋" w:cs="微软雅黑"/>
          <w:b/>
          <w:bCs/>
          <w:sz w:val="48"/>
          <w:szCs w:val="48"/>
        </w:rPr>
      </w:pPr>
      <w:r>
        <w:rPr>
          <w:rFonts w:hint="eastAsia" w:ascii="华文仿宋" w:hAnsi="华文仿宋" w:eastAsia="华文仿宋" w:cs="微软雅黑"/>
          <w:b/>
          <w:bCs/>
          <w:sz w:val="48"/>
          <w:szCs w:val="48"/>
          <w:lang w:val="en-US" w:eastAsia="zh-CN"/>
        </w:rPr>
        <w:t>公卫</w:t>
      </w:r>
      <w:r>
        <w:rPr>
          <w:rFonts w:hint="eastAsia" w:ascii="华文仿宋" w:hAnsi="华文仿宋" w:eastAsia="华文仿宋" w:cs="微软雅黑"/>
          <w:b/>
          <w:bCs/>
          <w:sz w:val="48"/>
          <w:szCs w:val="48"/>
        </w:rPr>
        <w:t>笔记</w:t>
      </w:r>
    </w:p>
    <w:p>
      <w:pPr>
        <w:spacing w:line="480" w:lineRule="auto"/>
        <w:jc w:val="center"/>
        <w:rPr>
          <w:rFonts w:hint="eastAsia" w:ascii="华文仿宋" w:hAnsi="华文仿宋" w:eastAsia="华文仿宋" w:cs="微软雅黑"/>
          <w:b/>
          <w:bCs/>
          <w:sz w:val="48"/>
          <w:szCs w:val="48"/>
        </w:rPr>
      </w:pPr>
      <w:r>
        <w:rPr>
          <w:rFonts w:hint="eastAsia" w:ascii="华文仿宋" w:hAnsi="华文仿宋" w:eastAsia="华文仿宋" w:cs="微软雅黑"/>
          <w:b/>
          <w:bCs/>
          <w:sz w:val="48"/>
          <w:szCs w:val="48"/>
        </w:rPr>
        <w:t>2</w:t>
      </w:r>
      <w:r>
        <w:rPr>
          <w:rFonts w:ascii="华文仿宋" w:hAnsi="华文仿宋" w:eastAsia="华文仿宋" w:cs="微软雅黑"/>
          <w:b/>
          <w:bCs/>
          <w:sz w:val="48"/>
          <w:szCs w:val="48"/>
        </w:rPr>
        <w:t>019</w:t>
      </w:r>
      <w:r>
        <w:rPr>
          <w:rFonts w:hint="eastAsia" w:ascii="华文仿宋" w:hAnsi="华文仿宋" w:eastAsia="华文仿宋" w:cs="微软雅黑"/>
          <w:b/>
          <w:bCs/>
          <w:sz w:val="48"/>
          <w:szCs w:val="48"/>
        </w:rPr>
        <w:t>年1</w:t>
      </w:r>
      <w:r>
        <w:rPr>
          <w:rFonts w:hint="eastAsia" w:ascii="华文仿宋" w:hAnsi="华文仿宋" w:eastAsia="华文仿宋" w:cs="微软雅黑"/>
          <w:b/>
          <w:bCs/>
          <w:sz w:val="48"/>
          <w:szCs w:val="48"/>
          <w:lang w:val="en-US" w:eastAsia="zh-CN"/>
        </w:rPr>
        <w:t>1</w:t>
      </w:r>
      <w:r>
        <w:rPr>
          <w:rFonts w:hint="eastAsia" w:ascii="华文仿宋" w:hAnsi="华文仿宋" w:eastAsia="华文仿宋" w:cs="微软雅黑"/>
          <w:b/>
          <w:bCs/>
          <w:sz w:val="48"/>
          <w:szCs w:val="48"/>
        </w:rPr>
        <w:t>月</w:t>
      </w:r>
      <w:r>
        <w:rPr>
          <w:rFonts w:hint="eastAsia" w:ascii="华文仿宋" w:hAnsi="华文仿宋" w:eastAsia="华文仿宋" w:cs="微软雅黑"/>
          <w:b/>
          <w:bCs/>
          <w:sz w:val="48"/>
          <w:szCs w:val="48"/>
          <w:lang w:val="en-US" w:eastAsia="zh-CN"/>
        </w:rPr>
        <w:t>25</w:t>
      </w:r>
      <w:r>
        <w:rPr>
          <w:rFonts w:hint="eastAsia" w:ascii="华文仿宋" w:hAnsi="华文仿宋" w:eastAsia="华文仿宋" w:cs="微软雅黑"/>
          <w:b/>
          <w:bCs/>
          <w:sz w:val="48"/>
          <w:szCs w:val="48"/>
        </w:rPr>
        <w:t>日</w:t>
      </w:r>
    </w:p>
    <w:p>
      <w:pPr>
        <w:spacing w:line="480" w:lineRule="auto"/>
        <w:jc w:val="center"/>
        <w:rPr>
          <w:rFonts w:hint="default" w:ascii="华文仿宋" w:hAnsi="华文仿宋" w:eastAsia="华文仿宋" w:cs="微软雅黑"/>
          <w:b/>
          <w:bCs/>
          <w:sz w:val="48"/>
          <w:szCs w:val="48"/>
          <w:lang w:val="en-US" w:eastAsia="zh-CN"/>
        </w:rPr>
      </w:pPr>
      <w:r>
        <w:rPr>
          <w:rFonts w:hint="eastAsia" w:ascii="华文仿宋" w:hAnsi="华文仿宋" w:eastAsia="华文仿宋" w:cs="微软雅黑"/>
          <w:b/>
          <w:bCs/>
          <w:sz w:val="48"/>
          <w:szCs w:val="48"/>
          <w:lang w:val="en-US" w:eastAsia="zh-CN"/>
        </w:rPr>
        <w:t>白果老师整理</w:t>
      </w: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第五章  居民健康管理</w:t>
      </w: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Times New Roman"/>
          <w:b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4"/>
          <w:szCs w:val="24"/>
          <w:lang w:val="en-US" w:eastAsia="zh-CN"/>
        </w:rPr>
        <w:t>1、</w:t>
      </w:r>
      <w:r>
        <w:rPr>
          <w:rFonts w:hint="default" w:ascii="微软雅黑" w:hAnsi="微软雅黑" w:eastAsia="微软雅黑" w:cs="Times New Roman"/>
          <w:b/>
          <w:kern w:val="0"/>
          <w:sz w:val="24"/>
          <w:szCs w:val="24"/>
          <w:lang w:val="en-US" w:eastAsia="zh-CN"/>
        </w:rPr>
        <w:t>孕产妇健康管理</w:t>
      </w:r>
      <w:r>
        <w:rPr>
          <w:rFonts w:hint="eastAsia" w:ascii="微软雅黑" w:hAnsi="微软雅黑" w:eastAsia="微软雅黑" w:cs="Times New Roman"/>
          <w:b/>
          <w:kern w:val="0"/>
          <w:sz w:val="24"/>
          <w:szCs w:val="24"/>
          <w:lang w:val="en-US" w:eastAsia="zh-CN"/>
        </w:rPr>
        <w:t>早期妊娠的判定</w:t>
      </w: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Times New Roman"/>
          <w:b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4"/>
          <w:szCs w:val="24"/>
          <w:lang w:val="en-US" w:eastAsia="zh-CN"/>
        </w:rPr>
        <w:t xml:space="preserve"> （1）停经 停经是妊娠第一体征。</w:t>
      </w: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Times New Roman"/>
          <w:b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4"/>
          <w:szCs w:val="24"/>
          <w:lang w:val="en-US" w:eastAsia="zh-CN"/>
        </w:rPr>
        <w:t xml:space="preserve"> （2）早孕反应 早孕反应在停经6周左右出现</w:t>
      </w: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Times New Roman"/>
          <w:b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4"/>
          <w:szCs w:val="24"/>
          <w:lang w:val="en-US" w:eastAsia="zh-CN"/>
        </w:rPr>
        <w:t xml:space="preserve"> （3）乳房变化  蒙氏结节</w:t>
      </w: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Times New Roman"/>
          <w:b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4"/>
          <w:szCs w:val="24"/>
          <w:lang w:val="en-US" w:eastAsia="zh-CN"/>
        </w:rPr>
        <w:t xml:space="preserve"> （4）妇科检查  黑加征</w:t>
      </w: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Times New Roman"/>
          <w:b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4"/>
          <w:szCs w:val="24"/>
          <w:lang w:val="en-US" w:eastAsia="zh-CN"/>
        </w:rPr>
        <w:t xml:space="preserve"> （5）妊娠试验 在受孕后9天就可显示尿hCG阳性，</w:t>
      </w: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Times New Roman"/>
          <w:b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4"/>
          <w:szCs w:val="24"/>
          <w:lang w:val="en-US" w:eastAsia="zh-CN"/>
        </w:rPr>
        <w:t xml:space="preserve"> （6）超声检查 确定宫内妊娠,这个是确诊的依据，估计孕龄及胎数。停经6周可见胚芽和原始心管搏动。</w:t>
      </w: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Times New Roman"/>
          <w:b/>
          <w:kern w:val="0"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24"/>
          <w:szCs w:val="24"/>
          <w:lang w:val="en-US" w:eastAsia="zh-CN"/>
        </w:rPr>
        <w:t>2</w:t>
      </w:r>
      <w:r>
        <w:rPr>
          <w:rFonts w:hint="eastAsia" w:ascii="微软雅黑" w:hAnsi="微软雅黑" w:eastAsia="微软雅黑" w:cs="Times New Roman"/>
          <w:b/>
          <w:kern w:val="0"/>
          <w:sz w:val="24"/>
          <w:szCs w:val="24"/>
          <w:lang w:val="en-US" w:eastAsia="zh-CN"/>
        </w:rPr>
        <w:t>、</w:t>
      </w:r>
      <w:r>
        <w:rPr>
          <w:rFonts w:hint="default" w:ascii="微软雅黑" w:hAnsi="微软雅黑" w:eastAsia="微软雅黑" w:cs="Times New Roman"/>
          <w:b/>
          <w:kern w:val="0"/>
          <w:sz w:val="24"/>
          <w:szCs w:val="24"/>
          <w:lang w:val="en-US" w:eastAsia="zh-CN"/>
        </w:rPr>
        <w:t>中、晚期妊娠的判定</w:t>
      </w: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Times New Roman"/>
          <w:b/>
          <w:kern w:val="0"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24"/>
          <w:szCs w:val="24"/>
          <w:lang w:val="en-US" w:eastAsia="zh-CN"/>
        </w:rPr>
        <w:t>（1）子宫增大</w:t>
      </w: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Times New Roman"/>
          <w:b/>
          <w:kern w:val="0"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24"/>
          <w:szCs w:val="24"/>
          <w:lang w:val="en-US" w:eastAsia="zh-CN"/>
        </w:rPr>
        <w:t xml:space="preserve">（2）胎动  17～19周孕妇可感到胎动。 </w:t>
      </w: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Times New Roman"/>
          <w:b/>
          <w:kern w:val="0"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24"/>
          <w:szCs w:val="24"/>
          <w:lang w:val="en-US" w:eastAsia="zh-CN"/>
        </w:rPr>
        <w:t>（3）胎心音  正常时每分钟110～160次。</w:t>
      </w: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Times New Roman"/>
          <w:b/>
          <w:kern w:val="0"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24"/>
          <w:szCs w:val="24"/>
          <w:lang w:val="en-US" w:eastAsia="zh-CN"/>
        </w:rPr>
        <w:t>（</w:t>
      </w:r>
      <w:r>
        <w:rPr>
          <w:rFonts w:hint="eastAsia" w:ascii="微软雅黑" w:hAnsi="微软雅黑" w:eastAsia="微软雅黑" w:cs="Times New Roman"/>
          <w:b/>
          <w:kern w:val="0"/>
          <w:sz w:val="24"/>
          <w:szCs w:val="24"/>
          <w:lang w:val="en-US" w:eastAsia="zh-CN"/>
        </w:rPr>
        <w:t>4</w:t>
      </w:r>
      <w:r>
        <w:rPr>
          <w:rFonts w:hint="default" w:ascii="微软雅黑" w:hAnsi="微软雅黑" w:eastAsia="微软雅黑" w:cs="Times New Roman"/>
          <w:b/>
          <w:kern w:val="0"/>
          <w:sz w:val="24"/>
          <w:szCs w:val="24"/>
          <w:lang w:val="en-US" w:eastAsia="zh-CN"/>
        </w:rPr>
        <w:t>）超声检查  胎儿生长发育、羊水和胎盘等情况。18～24周筛查胎儿结构畸形</w:t>
      </w: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Times New Roman"/>
          <w:b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4"/>
          <w:szCs w:val="24"/>
          <w:lang w:val="en-US" w:eastAsia="zh-CN"/>
        </w:rPr>
        <w:t>3、</w:t>
      </w:r>
      <w:r>
        <w:rPr>
          <w:rFonts w:hint="default" w:ascii="微软雅黑" w:hAnsi="微软雅黑" w:eastAsia="微软雅黑" w:cs="Times New Roman"/>
          <w:b/>
          <w:kern w:val="0"/>
          <w:sz w:val="24"/>
          <w:szCs w:val="24"/>
          <w:lang w:val="en-US" w:eastAsia="zh-CN"/>
        </w:rPr>
        <w:t>在整个妊娠期间至少提供5次产前检查，孕早期至少进行1次，孕中期至少2次，孕晚期至少2次（其中至少1次在36周后进行）。</w:t>
      </w: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Times New Roman"/>
          <w:b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4"/>
          <w:szCs w:val="24"/>
          <w:lang w:val="en-US" w:eastAsia="zh-CN"/>
        </w:rPr>
        <w:t>4、</w:t>
      </w:r>
      <w:r>
        <w:rPr>
          <w:rFonts w:hint="default" w:ascii="微软雅黑" w:hAnsi="微软雅黑" w:eastAsia="微软雅黑" w:cs="Times New Roman"/>
          <w:b/>
          <w:kern w:val="0"/>
          <w:sz w:val="24"/>
          <w:szCs w:val="24"/>
          <w:lang w:val="en-US" w:eastAsia="zh-CN"/>
        </w:rPr>
        <w:t>妊娠期从临床上分为3个时期：</w:t>
      </w: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Times New Roman"/>
          <w:b/>
          <w:kern w:val="0"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24"/>
          <w:szCs w:val="24"/>
          <w:lang w:val="en-US" w:eastAsia="zh-CN"/>
        </w:rPr>
        <w:t>　　第13周末之前称为早期妊娠</w:t>
      </w: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Times New Roman"/>
          <w:b/>
          <w:kern w:val="0"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24"/>
          <w:szCs w:val="24"/>
          <w:lang w:val="en-US" w:eastAsia="zh-CN"/>
        </w:rPr>
        <w:t>　　第14～27周末称为中期妊娠</w:t>
      </w:r>
    </w:p>
    <w:p>
      <w:pPr>
        <w:numPr>
          <w:ilvl w:val="0"/>
          <w:numId w:val="0"/>
        </w:numPr>
        <w:ind w:leftChars="0" w:firstLine="480"/>
        <w:rPr>
          <w:rFonts w:hint="default" w:ascii="微软雅黑" w:hAnsi="微软雅黑" w:eastAsia="微软雅黑" w:cs="Times New Roman"/>
          <w:b/>
          <w:kern w:val="0"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24"/>
          <w:szCs w:val="24"/>
          <w:lang w:val="en-US" w:eastAsia="zh-CN"/>
        </w:rPr>
        <w:t>第28周及其后称为晚期妊娠</w:t>
      </w:r>
    </w:p>
    <w:p>
      <w:pPr>
        <w:numPr>
          <w:ilvl w:val="0"/>
          <w:numId w:val="1"/>
        </w:numPr>
        <w:ind w:leftChars="0" w:firstLine="480"/>
        <w:rPr>
          <w:rFonts w:hint="eastAsia" w:ascii="微软雅黑" w:hAnsi="微软雅黑" w:eastAsia="微软雅黑" w:cs="Times New Roman"/>
          <w:b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4"/>
          <w:szCs w:val="24"/>
          <w:lang w:val="en-US" w:eastAsia="zh-CN"/>
        </w:rPr>
        <w:t>围生期：妊娠满28周（胎儿体重≥1000g或身长≥35cm）--产后1周</w:t>
      </w:r>
    </w:p>
    <w:p>
      <w:pPr>
        <w:numPr>
          <w:ilvl w:val="0"/>
          <w:numId w:val="1"/>
        </w:numPr>
        <w:ind w:leftChars="0" w:firstLine="480"/>
        <w:rPr>
          <w:rFonts w:hint="default" w:ascii="微软雅黑" w:hAnsi="微软雅黑" w:eastAsia="微软雅黑" w:cs="Times New Roman"/>
          <w:b/>
          <w:kern w:val="0"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24"/>
          <w:szCs w:val="24"/>
          <w:lang w:val="en-US" w:eastAsia="zh-CN"/>
        </w:rPr>
        <w:t>孕早期健康管理</w:t>
      </w:r>
      <w:r>
        <w:rPr>
          <w:rFonts w:hint="eastAsia" w:ascii="微软雅黑" w:hAnsi="微软雅黑" w:eastAsia="微软雅黑" w:cs="Times New Roman"/>
          <w:b/>
          <w:kern w:val="0"/>
          <w:sz w:val="24"/>
          <w:szCs w:val="24"/>
          <w:lang w:val="en-US" w:eastAsia="zh-CN"/>
        </w:rPr>
        <w:t>：</w:t>
      </w:r>
      <w:r>
        <w:rPr>
          <w:rFonts w:hint="default" w:ascii="微软雅黑" w:hAnsi="微软雅黑" w:eastAsia="微软雅黑" w:cs="Times New Roman"/>
          <w:b/>
          <w:kern w:val="0"/>
          <w:sz w:val="24"/>
          <w:szCs w:val="24"/>
          <w:lang w:val="en-US" w:eastAsia="zh-CN"/>
        </w:rPr>
        <w:t>（1）孕13周前由孕妇居住地的乡镇卫生院为其建立《孕产妇保健手册》，进行1次孕早期随访：（2）推算预产期：预产期计算应按末次月经第一日算起，月份减3或加9，日数加7。</w:t>
      </w:r>
    </w:p>
    <w:p>
      <w:pPr>
        <w:numPr>
          <w:ilvl w:val="0"/>
          <w:numId w:val="1"/>
        </w:numPr>
        <w:ind w:leftChars="0" w:firstLine="480"/>
        <w:rPr>
          <w:rFonts w:hint="default" w:ascii="微软雅黑" w:hAnsi="微软雅黑" w:eastAsia="微软雅黑" w:cs="Times New Roman"/>
          <w:b/>
          <w:kern w:val="0"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24"/>
          <w:szCs w:val="24"/>
          <w:lang w:val="en-US" w:eastAsia="zh-CN"/>
        </w:rPr>
        <w:t xml:space="preserve"> 孕中期健康管理</w:t>
      </w:r>
      <w:r>
        <w:rPr>
          <w:rFonts w:hint="eastAsia" w:ascii="微软雅黑" w:hAnsi="微软雅黑" w:eastAsia="微软雅黑" w:cs="Times New Roman"/>
          <w:b/>
          <w:kern w:val="0"/>
          <w:sz w:val="24"/>
          <w:szCs w:val="24"/>
          <w:lang w:val="en-US" w:eastAsia="zh-CN"/>
        </w:rPr>
        <w:t>：</w:t>
      </w:r>
      <w:r>
        <w:rPr>
          <w:rFonts w:hint="default" w:ascii="微软雅黑" w:hAnsi="微软雅黑" w:eastAsia="微软雅黑" w:cs="Times New Roman"/>
          <w:b/>
          <w:kern w:val="0"/>
          <w:sz w:val="24"/>
          <w:szCs w:val="24"/>
          <w:lang w:val="en-US" w:eastAsia="zh-CN"/>
        </w:rPr>
        <w:t>孕中期保健至少2次，可分别在孕16～20周、孕21～24周各检查1次。</w:t>
      </w:r>
      <w:r>
        <w:rPr>
          <w:rFonts w:hint="eastAsia" w:ascii="微软雅黑" w:hAnsi="微软雅黑" w:eastAsia="微软雅黑" w:cs="Times New Roman"/>
          <w:b/>
          <w:kern w:val="0"/>
          <w:sz w:val="24"/>
          <w:szCs w:val="24"/>
          <w:lang w:val="en-US" w:eastAsia="zh-CN"/>
        </w:rPr>
        <w:t>孕</w:t>
      </w:r>
      <w:r>
        <w:rPr>
          <w:rFonts w:hint="default" w:ascii="微软雅黑" w:hAnsi="微软雅黑" w:eastAsia="微软雅黑" w:cs="Times New Roman"/>
          <w:b/>
          <w:kern w:val="0"/>
          <w:sz w:val="24"/>
          <w:szCs w:val="24"/>
          <w:lang w:val="en-US" w:eastAsia="zh-CN"/>
        </w:rPr>
        <w:t>妇自我监测胎动：12小时胎动数小于20次，或每小时小于3次，提示胎儿有异常。</w:t>
      </w:r>
    </w:p>
    <w:p>
      <w:pPr>
        <w:numPr>
          <w:ilvl w:val="0"/>
          <w:numId w:val="1"/>
        </w:numPr>
        <w:ind w:leftChars="0" w:firstLine="480"/>
        <w:rPr>
          <w:rFonts w:hint="default" w:ascii="微软雅黑" w:hAnsi="微软雅黑" w:eastAsia="微软雅黑" w:cs="Times New Roman"/>
          <w:b/>
          <w:kern w:val="0"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24"/>
          <w:szCs w:val="24"/>
          <w:lang w:val="en-US" w:eastAsia="zh-CN"/>
        </w:rPr>
        <w:t>产后28天内的产妇为产后访视对象</w:t>
      </w:r>
      <w:r>
        <w:rPr>
          <w:rFonts w:hint="eastAsia" w:ascii="微软雅黑" w:hAnsi="微软雅黑" w:eastAsia="微软雅黑" w:cs="Times New Roman"/>
          <w:b/>
          <w:kern w:val="0"/>
          <w:sz w:val="24"/>
          <w:szCs w:val="24"/>
          <w:lang w:val="en-US" w:eastAsia="zh-CN"/>
        </w:rPr>
        <w:t>，乡镇卫生院、村卫生室和社区卫生服务中心（站）应于产妇出院后1周内到产妇家中进行产后访视</w:t>
      </w:r>
    </w:p>
    <w:p>
      <w:pPr>
        <w:numPr>
          <w:ilvl w:val="0"/>
          <w:numId w:val="1"/>
        </w:numPr>
        <w:ind w:leftChars="0" w:firstLine="480"/>
        <w:rPr>
          <w:rFonts w:hint="default" w:ascii="微软雅黑" w:hAnsi="微软雅黑" w:eastAsia="微软雅黑" w:cs="Times New Roman"/>
          <w:b/>
          <w:kern w:val="0"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24"/>
          <w:szCs w:val="24"/>
          <w:lang w:val="en-US" w:eastAsia="zh-CN"/>
        </w:rPr>
        <w:t>老年人健康管理服务对象</w:t>
      </w:r>
      <w:r>
        <w:rPr>
          <w:rFonts w:hint="eastAsia" w:ascii="微软雅黑" w:hAnsi="微软雅黑" w:eastAsia="微软雅黑" w:cs="Times New Roman"/>
          <w:b/>
          <w:kern w:val="0"/>
          <w:sz w:val="24"/>
          <w:szCs w:val="24"/>
          <w:lang w:val="en-US" w:eastAsia="zh-CN"/>
        </w:rPr>
        <w:t>：</w:t>
      </w:r>
      <w:r>
        <w:rPr>
          <w:rFonts w:hint="default" w:ascii="微软雅黑" w:hAnsi="微软雅黑" w:eastAsia="微软雅黑" w:cs="Times New Roman"/>
          <w:b/>
          <w:kern w:val="0"/>
          <w:sz w:val="24"/>
          <w:szCs w:val="24"/>
          <w:lang w:val="en-US" w:eastAsia="zh-CN"/>
        </w:rPr>
        <w:t>辖区内65岁及以上常住居民</w:t>
      </w:r>
      <w:r>
        <w:rPr>
          <w:rFonts w:hint="eastAsia" w:ascii="微软雅黑" w:hAnsi="微软雅黑" w:eastAsia="微软雅黑" w:cs="Times New Roman"/>
          <w:b/>
          <w:kern w:val="0"/>
          <w:sz w:val="24"/>
          <w:szCs w:val="24"/>
          <w:lang w:val="en-US" w:eastAsia="zh-CN"/>
        </w:rPr>
        <w:t>。</w:t>
      </w:r>
      <w:r>
        <w:rPr>
          <w:rFonts w:hint="default" w:ascii="微软雅黑" w:hAnsi="微软雅黑" w:eastAsia="微软雅黑" w:cs="Times New Roman"/>
          <w:b/>
          <w:kern w:val="0"/>
          <w:sz w:val="24"/>
          <w:szCs w:val="24"/>
          <w:lang w:val="en-US" w:eastAsia="zh-CN"/>
        </w:rPr>
        <w:t>考核指标</w:t>
      </w:r>
      <w:r>
        <w:rPr>
          <w:rFonts w:hint="eastAsia" w:ascii="微软雅黑" w:hAnsi="微软雅黑" w:eastAsia="微软雅黑" w:cs="Times New Roman"/>
          <w:b/>
          <w:kern w:val="0"/>
          <w:sz w:val="24"/>
          <w:szCs w:val="24"/>
          <w:lang w:val="en-US" w:eastAsia="zh-CN"/>
        </w:rPr>
        <w:t>：（</w:t>
      </w:r>
      <w:r>
        <w:rPr>
          <w:rFonts w:hint="default" w:ascii="微软雅黑" w:hAnsi="微软雅黑" w:eastAsia="微软雅黑" w:cs="Times New Roman"/>
          <w:b/>
          <w:kern w:val="0"/>
          <w:sz w:val="24"/>
          <w:szCs w:val="24"/>
          <w:lang w:val="en-US" w:eastAsia="zh-CN"/>
        </w:rPr>
        <w:t>1）老年人健康管理率（2）健康体检表完整率</w:t>
      </w:r>
    </w:p>
    <w:p>
      <w:pPr>
        <w:numPr>
          <w:ilvl w:val="0"/>
          <w:numId w:val="1"/>
        </w:numPr>
        <w:ind w:leftChars="0" w:firstLine="480"/>
        <w:rPr>
          <w:rFonts w:hint="default" w:ascii="微软雅黑" w:hAnsi="微软雅黑" w:eastAsia="微软雅黑" w:cs="Times New Roman"/>
          <w:b/>
          <w:kern w:val="0"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24"/>
          <w:szCs w:val="24"/>
          <w:lang w:val="en-US" w:eastAsia="zh-CN"/>
        </w:rPr>
        <w:t>高血压患者健康管理服务对象：辖区内35岁以上原发性高血压患者</w:t>
      </w:r>
      <w:r>
        <w:rPr>
          <w:rFonts w:hint="eastAsia" w:ascii="微软雅黑" w:hAnsi="微软雅黑" w:eastAsia="微软雅黑" w:cs="Times New Roman"/>
          <w:b/>
          <w:kern w:val="0"/>
          <w:sz w:val="24"/>
          <w:szCs w:val="24"/>
          <w:lang w:val="en-US" w:eastAsia="zh-CN"/>
        </w:rPr>
        <w:t>。高危人群建议每半年至少测量1次血压</w:t>
      </w:r>
    </w:p>
    <w:p>
      <w:pPr>
        <w:numPr>
          <w:ilvl w:val="0"/>
          <w:numId w:val="1"/>
        </w:numPr>
        <w:ind w:leftChars="0" w:firstLine="480"/>
        <w:rPr>
          <w:rFonts w:hint="default" w:ascii="微软雅黑" w:hAnsi="微软雅黑" w:eastAsia="微软雅黑" w:cs="Times New Roman"/>
          <w:b/>
          <w:kern w:val="0"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24"/>
          <w:szCs w:val="24"/>
          <w:lang w:val="en-US" w:eastAsia="zh-CN"/>
        </w:rPr>
        <w:t>分类干预</w:t>
      </w:r>
    </w:p>
    <w:tbl>
      <w:tblPr>
        <w:tblStyle w:val="5"/>
        <w:tblW w:w="9094" w:type="dxa"/>
        <w:tblCellSpacing w:w="0" w:type="dxa"/>
        <w:tblInd w:w="1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614"/>
        <w:gridCol w:w="648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2614" w:type="dxa"/>
            <w:tcBorders>
              <w:top w:val="single" w:color="FFFFFF" w:sz="4" w:space="0"/>
              <w:left w:val="single" w:color="FFFFFF" w:sz="4" w:space="0"/>
              <w:bottom w:val="single" w:color="FFFFFF" w:sz="12" w:space="0"/>
              <w:right w:val="single" w:color="FFFFFF" w:sz="4" w:space="0"/>
            </w:tcBorders>
            <w:shd w:val="clear" w:color="auto" w:fill="5B9BD5"/>
            <w:tcMar>
              <w:top w:w="96" w:type="dxa"/>
              <w:left w:w="192" w:type="dxa"/>
              <w:bottom w:w="96" w:type="dxa"/>
              <w:right w:w="192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sz w:val="24"/>
                <w:szCs w:val="24"/>
              </w:rPr>
            </w:pPr>
            <w:r>
              <w:rPr>
                <w:rFonts w:ascii="黑体" w:hAnsi="宋体" w:eastAsia="黑体" w:cs="黑体"/>
                <w:b/>
                <w:color w:val="FF0000"/>
                <w:sz w:val="24"/>
                <w:szCs w:val="24"/>
              </w:rPr>
              <w:t>干预方法</w:t>
            </w:r>
          </w:p>
        </w:tc>
        <w:tc>
          <w:tcPr>
            <w:tcW w:w="6480" w:type="dxa"/>
            <w:tcBorders>
              <w:top w:val="single" w:color="FFFFFF" w:sz="4" w:space="0"/>
              <w:left w:val="single" w:color="FFFFFF" w:sz="4" w:space="0"/>
              <w:bottom w:val="single" w:color="FFFFFF" w:sz="12" w:space="0"/>
              <w:right w:val="single" w:color="FFFFFF" w:sz="4" w:space="0"/>
            </w:tcBorders>
            <w:shd w:val="clear" w:color="auto" w:fill="5B9BD5"/>
            <w:tcMar>
              <w:top w:w="96" w:type="dxa"/>
              <w:left w:w="192" w:type="dxa"/>
              <w:bottom w:w="96" w:type="dxa"/>
              <w:right w:w="192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b/>
                <w:color w:val="FF0000"/>
                <w:sz w:val="24"/>
                <w:szCs w:val="24"/>
              </w:rPr>
              <w:t>干预类别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2" w:hRule="atLeast"/>
          <w:tblCellSpacing w:w="0" w:type="dxa"/>
        </w:trPr>
        <w:tc>
          <w:tcPr>
            <w:tcW w:w="2614" w:type="dxa"/>
            <w:tcBorders>
              <w:top w:val="single" w:color="FFFFFF" w:sz="4" w:space="0"/>
              <w:left w:val="single" w:color="FFFFFF" w:sz="4" w:space="0"/>
              <w:bottom w:val="single" w:color="FFFFFF" w:sz="12" w:space="0"/>
              <w:right w:val="single" w:color="FFFFFF" w:sz="4" w:space="0"/>
            </w:tcBorders>
            <w:shd w:val="clear" w:color="auto" w:fill="D2DEEF"/>
            <w:tcMar>
              <w:top w:w="96" w:type="dxa"/>
              <w:left w:w="192" w:type="dxa"/>
              <w:bottom w:w="96" w:type="dxa"/>
              <w:right w:w="192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sz w:val="24"/>
                <w:szCs w:val="24"/>
              </w:rPr>
              <w:t>预约下一次随访时间</w:t>
            </w:r>
          </w:p>
        </w:tc>
        <w:tc>
          <w:tcPr>
            <w:tcW w:w="6480" w:type="dxa"/>
            <w:tcBorders>
              <w:top w:val="single" w:color="FFFFFF" w:sz="4" w:space="0"/>
              <w:left w:val="single" w:color="FFFFFF" w:sz="4" w:space="0"/>
              <w:bottom w:val="single" w:color="FFFFFF" w:sz="12" w:space="0"/>
              <w:right w:val="single" w:color="FFFFFF" w:sz="4" w:space="0"/>
            </w:tcBorders>
            <w:shd w:val="clear" w:color="auto" w:fill="D2DEEF"/>
            <w:tcMar>
              <w:top w:w="96" w:type="dxa"/>
              <w:left w:w="192" w:type="dxa"/>
              <w:bottom w:w="96" w:type="dxa"/>
              <w:right w:w="192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sz w:val="24"/>
                <w:szCs w:val="24"/>
              </w:rPr>
              <w:t>对血压控制满意、无药物不良反应、无新发并发症或原有并发症无加重。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2614" w:type="dxa"/>
            <w:tcBorders>
              <w:top w:val="single" w:color="FFFFFF" w:sz="4" w:space="0"/>
              <w:left w:val="single" w:color="FFFFFF" w:sz="4" w:space="0"/>
              <w:bottom w:val="single" w:color="FFFFFF" w:sz="12" w:space="0"/>
              <w:right w:val="single" w:color="FFFFFF" w:sz="4" w:space="0"/>
            </w:tcBorders>
            <w:shd w:val="clear" w:color="auto" w:fill="EAEFF7"/>
            <w:tcMar>
              <w:top w:w="96" w:type="dxa"/>
              <w:left w:w="192" w:type="dxa"/>
              <w:bottom w:w="96" w:type="dxa"/>
              <w:right w:w="192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sz w:val="24"/>
                <w:szCs w:val="24"/>
              </w:rPr>
              <w:t>2周内随访</w:t>
            </w:r>
          </w:p>
        </w:tc>
        <w:tc>
          <w:tcPr>
            <w:tcW w:w="6480" w:type="dxa"/>
            <w:tcBorders>
              <w:top w:val="single" w:color="FFFFFF" w:sz="4" w:space="0"/>
              <w:left w:val="single" w:color="FFFFFF" w:sz="4" w:space="0"/>
              <w:bottom w:val="single" w:color="FFFFFF" w:sz="12" w:space="0"/>
              <w:right w:val="single" w:color="FFFFFF" w:sz="4" w:space="0"/>
            </w:tcBorders>
            <w:shd w:val="clear" w:color="auto" w:fill="EAEFF7"/>
            <w:tcMar>
              <w:top w:w="96" w:type="dxa"/>
              <w:left w:w="192" w:type="dxa"/>
              <w:bottom w:w="96" w:type="dxa"/>
              <w:right w:w="192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sz w:val="24"/>
                <w:szCs w:val="24"/>
              </w:rPr>
              <w:t>第一次出现血压控制不满意，出现药物不良反应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3" w:hRule="atLeast"/>
          <w:tblCellSpacing w:w="0" w:type="dxa"/>
        </w:trPr>
        <w:tc>
          <w:tcPr>
            <w:tcW w:w="2614" w:type="dxa"/>
            <w:tcBorders>
              <w:top w:val="single" w:color="FFFFFF" w:sz="4" w:space="0"/>
              <w:left w:val="single" w:color="FFFFFF" w:sz="4" w:space="0"/>
              <w:bottom w:val="single" w:color="FFFFFF" w:sz="12" w:space="0"/>
              <w:right w:val="single" w:color="FFFFFF" w:sz="4" w:space="0"/>
            </w:tcBorders>
            <w:shd w:val="clear" w:color="auto" w:fill="D2DEEF"/>
            <w:tcMar>
              <w:top w:w="96" w:type="dxa"/>
              <w:left w:w="192" w:type="dxa"/>
              <w:bottom w:w="96" w:type="dxa"/>
              <w:right w:w="192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sz w:val="24"/>
                <w:szCs w:val="24"/>
              </w:rPr>
              <w:t>转诊上级医院2周内随访</w:t>
            </w:r>
          </w:p>
        </w:tc>
        <w:tc>
          <w:tcPr>
            <w:tcW w:w="6480" w:type="dxa"/>
            <w:tcBorders>
              <w:top w:val="single" w:color="FFFFFF" w:sz="4" w:space="0"/>
              <w:left w:val="single" w:color="FFFFFF" w:sz="4" w:space="0"/>
              <w:bottom w:val="single" w:color="FFFFFF" w:sz="12" w:space="0"/>
              <w:right w:val="single" w:color="FFFFFF" w:sz="4" w:space="0"/>
            </w:tcBorders>
            <w:shd w:val="clear" w:color="auto" w:fill="D2DEEF"/>
            <w:tcMar>
              <w:top w:w="96" w:type="dxa"/>
              <w:left w:w="192" w:type="dxa"/>
              <w:bottom w:w="96" w:type="dxa"/>
              <w:right w:w="192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sz w:val="24"/>
                <w:szCs w:val="24"/>
              </w:rPr>
              <w:t>连续两次出现血压控制不满意、药物不良反应难以控制、新的并发症、原并发症加重。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  <w:tblCellSpacing w:w="0" w:type="dxa"/>
        </w:trPr>
        <w:tc>
          <w:tcPr>
            <w:tcW w:w="9094" w:type="dxa"/>
            <w:gridSpan w:val="2"/>
            <w:tcBorders>
              <w:top w:val="single" w:color="FFFFFF" w:sz="4" w:space="0"/>
              <w:left w:val="single" w:color="FFFFFF" w:sz="4" w:space="0"/>
              <w:bottom w:val="single" w:color="FFFFFF" w:sz="12" w:space="0"/>
              <w:right w:val="single" w:color="FFFFFF" w:sz="4" w:space="0"/>
            </w:tcBorders>
            <w:shd w:val="clear" w:color="auto" w:fill="EAEFF7"/>
            <w:tcMar>
              <w:top w:w="96" w:type="dxa"/>
              <w:left w:w="192" w:type="dxa"/>
              <w:bottom w:w="96" w:type="dxa"/>
              <w:right w:w="192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sz w:val="24"/>
                <w:szCs w:val="24"/>
              </w:rPr>
              <w:t>针对性健康教育，制定生活方式改进目标，下一次随访评估进展，告诉患者哪些情况应立即就诊。</w:t>
            </w:r>
          </w:p>
        </w:tc>
      </w:tr>
    </w:tbl>
    <w:p>
      <w:pPr>
        <w:numPr>
          <w:ilvl w:val="0"/>
          <w:numId w:val="1"/>
        </w:numPr>
        <w:ind w:leftChars="0" w:firstLine="480"/>
        <w:rPr>
          <w:rFonts w:hint="eastAsia" w:ascii="微软雅黑" w:hAnsi="微软雅黑" w:eastAsia="微软雅黑" w:cs="Times New Roman"/>
          <w:b/>
          <w:kern w:val="0"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24"/>
          <w:szCs w:val="24"/>
          <w:lang w:val="en-US" w:eastAsia="zh-CN"/>
        </w:rPr>
        <w:t>2型糖尿病患者健康管理服务对象：辖区内35岁及以上2型糖尿病患者</w:t>
      </w:r>
      <w:r>
        <w:rPr>
          <w:rFonts w:hint="eastAsia" w:ascii="微软雅黑" w:hAnsi="微软雅黑" w:eastAsia="微软雅黑" w:cs="Times New Roman"/>
          <w:b/>
          <w:kern w:val="0"/>
          <w:sz w:val="24"/>
          <w:szCs w:val="24"/>
          <w:lang w:val="en-US" w:eastAsia="zh-CN"/>
        </w:rPr>
        <w:t>；建议每年至少测量1次空腹血糖，对确诊的患者每年提供4次免费空腹血糖检测，每年至少进行4次面对面随访，每3个月至少随访1次 </w:t>
      </w:r>
    </w:p>
    <w:p>
      <w:pPr>
        <w:numPr>
          <w:ilvl w:val="0"/>
          <w:numId w:val="1"/>
        </w:numPr>
        <w:ind w:leftChars="0" w:firstLine="480"/>
        <w:rPr>
          <w:rFonts w:hint="default" w:ascii="微软雅黑" w:hAnsi="微软雅黑" w:eastAsia="微软雅黑" w:cs="Times New Roman"/>
          <w:b/>
          <w:kern w:val="0"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24"/>
          <w:szCs w:val="24"/>
          <w:lang w:val="en-US" w:eastAsia="zh-CN"/>
        </w:rPr>
        <w:t>结核病患者健康管理</w:t>
      </w:r>
      <w:r>
        <w:rPr>
          <w:rFonts w:hint="eastAsia" w:ascii="微软雅黑" w:hAnsi="微软雅黑" w:eastAsia="微软雅黑" w:cs="Times New Roman"/>
          <w:b/>
          <w:kern w:val="0"/>
          <w:sz w:val="24"/>
          <w:szCs w:val="24"/>
          <w:lang w:val="en-US" w:eastAsia="zh-CN"/>
        </w:rPr>
        <w:t>服务对象：辖区内确诊的肺结核患者肺结核患者中约3/4发病集中于青壮年，农村患者较多，主要集中在中西部地区。</w:t>
      </w:r>
    </w:p>
    <w:p>
      <w:pPr>
        <w:numPr>
          <w:ilvl w:val="0"/>
          <w:numId w:val="1"/>
        </w:numPr>
        <w:ind w:leftChars="0" w:firstLine="480"/>
        <w:rPr>
          <w:rFonts w:hint="eastAsia" w:ascii="微软雅黑" w:hAnsi="微软雅黑" w:eastAsia="微软雅黑" w:cs="Times New Roman"/>
          <w:b/>
          <w:kern w:val="0"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24"/>
          <w:szCs w:val="24"/>
          <w:lang w:val="en-US" w:eastAsia="zh-CN"/>
        </w:rPr>
        <w:t>抗结核药：空腹顿服，夏天要冷藏</w:t>
      </w:r>
      <w:r>
        <w:rPr>
          <w:rFonts w:hint="eastAsia" w:ascii="微软雅黑" w:hAnsi="微软雅黑" w:eastAsia="微软雅黑" w:cs="Times New Roman"/>
          <w:b/>
          <w:kern w:val="0"/>
          <w:sz w:val="24"/>
          <w:szCs w:val="24"/>
          <w:lang w:val="en-US" w:eastAsia="zh-CN"/>
        </w:rPr>
        <w:t>。</w:t>
      </w:r>
      <w:r>
        <w:rPr>
          <w:rFonts w:hint="default" w:ascii="微软雅黑" w:hAnsi="微软雅黑" w:eastAsia="微软雅黑" w:cs="Times New Roman"/>
          <w:b/>
          <w:kern w:val="0"/>
          <w:sz w:val="24"/>
          <w:szCs w:val="24"/>
          <w:lang w:val="en-US" w:eastAsia="zh-CN"/>
        </w:rPr>
        <w:t>督导服药</w:t>
      </w:r>
      <w:r>
        <w:rPr>
          <w:rFonts w:hint="eastAsia" w:ascii="微软雅黑" w:hAnsi="微软雅黑" w:eastAsia="微软雅黑" w:cs="Times New Roman"/>
          <w:b/>
          <w:kern w:val="0"/>
          <w:sz w:val="24"/>
          <w:szCs w:val="24"/>
          <w:lang w:val="en-US" w:eastAsia="zh-CN"/>
        </w:rPr>
        <w:t>，</w:t>
      </w:r>
      <w:r>
        <w:rPr>
          <w:rFonts w:hint="default" w:ascii="微软雅黑" w:hAnsi="微软雅黑" w:eastAsia="微软雅黑" w:cs="Times New Roman"/>
          <w:b/>
          <w:kern w:val="0"/>
          <w:sz w:val="24"/>
          <w:szCs w:val="24"/>
          <w:lang w:val="en-US" w:eastAsia="zh-CN"/>
        </w:rPr>
        <w:t>督导人员优先为医务人员，也可为患者家属</w:t>
      </w:r>
      <w:r>
        <w:rPr>
          <w:rFonts w:hint="eastAsia" w:ascii="微软雅黑" w:hAnsi="微软雅黑" w:eastAsia="微软雅黑" w:cs="Times New Roman"/>
          <w:b/>
          <w:kern w:val="0"/>
          <w:sz w:val="24"/>
          <w:szCs w:val="24"/>
          <w:lang w:val="en-US" w:eastAsia="zh-CN"/>
        </w:rPr>
        <w:t>。若患者漏服药次数超过1周及以上，要及时向上级专业机构进行报告。对出现药物不良反应、并发症或合并症的患者，要立即转诊，2周内随访。</w:t>
      </w:r>
    </w:p>
    <w:p>
      <w:pPr>
        <w:numPr>
          <w:ilvl w:val="0"/>
          <w:numId w:val="1"/>
        </w:numPr>
        <w:ind w:leftChars="0" w:firstLine="480"/>
        <w:rPr>
          <w:rFonts w:hint="default" w:ascii="微软雅黑" w:hAnsi="微软雅黑" w:eastAsia="微软雅黑" w:cs="Times New Roman"/>
          <w:b/>
          <w:kern w:val="0"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24"/>
          <w:szCs w:val="24"/>
          <w:lang w:val="en-US" w:eastAsia="zh-CN"/>
        </w:rPr>
        <w:t>严重精神障碍患者健康管理</w:t>
      </w:r>
      <w:r>
        <w:rPr>
          <w:rFonts w:hint="eastAsia" w:ascii="微软雅黑" w:hAnsi="微软雅黑" w:eastAsia="微软雅黑" w:cs="Times New Roman"/>
          <w:b/>
          <w:kern w:val="0"/>
          <w:sz w:val="24"/>
          <w:szCs w:val="24"/>
          <w:lang w:val="en-US" w:eastAsia="zh-CN"/>
        </w:rPr>
        <w:t>：服务对象</w:t>
      </w:r>
      <w:r>
        <w:rPr>
          <w:rFonts w:hint="default" w:ascii="微软雅黑" w:hAnsi="微软雅黑" w:eastAsia="微软雅黑" w:cs="Times New Roman"/>
          <w:b/>
          <w:kern w:val="0"/>
          <w:sz w:val="24"/>
          <w:szCs w:val="24"/>
          <w:lang w:val="en-US" w:eastAsia="zh-CN"/>
        </w:rPr>
        <w:t>辖区常住患者，即在本辖区内有固定居所，并且连续居住至少半年以上</w:t>
      </w:r>
      <w:r>
        <w:rPr>
          <w:rFonts w:hint="eastAsia" w:ascii="微软雅黑" w:hAnsi="微软雅黑" w:eastAsia="微软雅黑" w:cs="Times New Roman"/>
          <w:b/>
          <w:kern w:val="0"/>
          <w:sz w:val="24"/>
          <w:szCs w:val="24"/>
          <w:lang w:val="en-US" w:eastAsia="zh-CN"/>
        </w:rPr>
        <w:t>。至少每3个月随访1次，全年至少随访4次。危险性经评估共分为6级，将患者病情分为3类：不稳定、基本稳定、稳定</w:t>
      </w:r>
    </w:p>
    <w:p>
      <w:pPr>
        <w:numPr>
          <w:ilvl w:val="0"/>
          <w:numId w:val="1"/>
        </w:numPr>
        <w:ind w:leftChars="0" w:firstLine="480"/>
        <w:rPr>
          <w:rFonts w:hint="default" w:ascii="微软雅黑" w:hAnsi="微软雅黑" w:eastAsia="微软雅黑" w:cs="Times New Roman"/>
          <w:b/>
          <w:kern w:val="0"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24"/>
          <w:szCs w:val="24"/>
          <w:lang w:val="en-US" w:eastAsia="zh-CN"/>
        </w:rPr>
        <w:t>中医药健康管理</w:t>
      </w:r>
      <w:r>
        <w:rPr>
          <w:rFonts w:hint="eastAsia" w:ascii="微软雅黑" w:hAnsi="微软雅黑" w:eastAsia="微软雅黑" w:cs="Times New Roman"/>
          <w:b/>
          <w:kern w:val="0"/>
          <w:sz w:val="24"/>
          <w:szCs w:val="24"/>
          <w:lang w:val="en-US" w:eastAsia="zh-CN"/>
        </w:rPr>
        <w:t>：平和质（A型）、气虚质（B型）、阳虚质（C型）、阴虚质（D型）、痰湿质（E型）、湿热质（F型）、血瘀质（G型）、气郁质（H型）、特禀质（I型）</w:t>
      </w: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Times New Roman"/>
          <w:b/>
          <w:kern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ascii="微软雅黑" w:hAnsi="微软雅黑" w:eastAsia="微软雅黑" w:cs="微软雅黑"/>
          <w:bCs/>
          <w:color w:val="FF0000"/>
          <w:kern w:val="0"/>
          <w:szCs w:val="21"/>
          <w:lang w:bidi="ar"/>
        </w:rPr>
        <w:drawing>
          <wp:inline distT="0" distB="0" distL="0" distR="0">
            <wp:extent cx="5274310" cy="8154035"/>
            <wp:effectExtent l="0" t="0" r="8890" b="1206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5218" cy="8155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姚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华文仿宋">
    <w:altName w:val="仿宋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微软雅黑" w:hAnsi="微软雅黑" w:eastAsia="微软雅黑"/>
      </w:rPr>
    </w:pPr>
    <w:r>
      <w:drawing>
        <wp:anchor distT="0" distB="0" distL="114300" distR="114300" simplePos="0" relativeHeight="251657216" behindDoc="1" locked="0" layoutInCell="1" allowOverlap="1">
          <wp:simplePos x="0" y="0"/>
          <wp:positionH relativeFrom="margin">
            <wp:posOffset>1322070</wp:posOffset>
          </wp:positionH>
          <wp:positionV relativeFrom="margin">
            <wp:posOffset>600710</wp:posOffset>
          </wp:positionV>
          <wp:extent cx="3124835" cy="2937510"/>
          <wp:effectExtent l="0" t="0" r="0" b="0"/>
          <wp:wrapNone/>
          <wp:docPr id="3" name="WordPictureWatermark30334" descr="彩色logo竖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0334" descr="彩色logo竖版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24835" cy="293751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1350645</wp:posOffset>
          </wp:positionH>
          <wp:positionV relativeFrom="margin">
            <wp:posOffset>3658235</wp:posOffset>
          </wp:positionV>
          <wp:extent cx="3124835" cy="2937510"/>
          <wp:effectExtent l="0" t="0" r="0" b="0"/>
          <wp:wrapNone/>
          <wp:docPr id="4" name="WordPictureWatermark30334" descr="彩色logo竖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WordPictureWatermark30334" descr="彩色logo竖版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24835" cy="293751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直播笔记（直播习题）                                      </w:t>
    </w:r>
    <w:r>
      <w:rPr>
        <w:rFonts w:hint="eastAsia" w:ascii="微软雅黑" w:hAnsi="微软雅黑" w:eastAsia="微软雅黑"/>
      </w:rPr>
      <w:t xml:space="preserve"> 奋斗没有终点，任何时候都是一个起点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PowerPlusWaterMarkObject64892" o:spid="_x0000_s4097" o:spt="136" type="#_x0000_t136" style="position:absolute;left:0pt;height:79.2pt;width:508.05pt;mso-position-horizontal:center;mso-position-horizontal-relative:margin;mso-position-vertical:center;mso-position-vertical-relative:margin;rotation:-2949120f;z-index:-251658240;mso-width-relative:page;mso-height-relative:page;" fillcolor="#C0C0C0" filled="t" stroked="f" coordsize="21600,21600">
          <v:path/>
          <v:fill on="t" opacity="49807f" focussize="0,0"/>
          <v:stroke on="f"/>
          <v:imagedata o:title=""/>
          <o:lock v:ext="edit" aspectratio="t"/>
          <v:textpath on="t" fitshape="t" fitpath="t" trim="t" xscale="f" string="金英杰直播专属" style="font-family:华文行楷;font-size:36pt;v-text-align:center;"/>
        </v:shape>
      </w:pict>
    </w:r>
    <w:r>
      <w:rPr>
        <w:rFonts w:hint="eastAsia" w:ascii="微软雅黑" w:hAnsi="微软雅黑" w:eastAsia="微软雅黑"/>
      </w:rPr>
      <w:t>金英杰直播学院                                                                  4006061615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2D81E2"/>
    <w:multiLevelType w:val="singleLevel"/>
    <w:tmpl w:val="732D81E2"/>
    <w:lvl w:ilvl="0" w:tentative="0">
      <w:start w:val="5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098"/>
    <w:rsid w:val="000234AB"/>
    <w:rsid w:val="00057D7B"/>
    <w:rsid w:val="00073C5F"/>
    <w:rsid w:val="000776A4"/>
    <w:rsid w:val="000A5D69"/>
    <w:rsid w:val="000A6282"/>
    <w:rsid w:val="000B09B5"/>
    <w:rsid w:val="000C4189"/>
    <w:rsid w:val="0015513B"/>
    <w:rsid w:val="00156DFF"/>
    <w:rsid w:val="0017595B"/>
    <w:rsid w:val="001C07FA"/>
    <w:rsid w:val="001E5DA1"/>
    <w:rsid w:val="001F1098"/>
    <w:rsid w:val="002141F8"/>
    <w:rsid w:val="00260530"/>
    <w:rsid w:val="002A62D8"/>
    <w:rsid w:val="0030366C"/>
    <w:rsid w:val="0037065B"/>
    <w:rsid w:val="00394F2F"/>
    <w:rsid w:val="003D5EDA"/>
    <w:rsid w:val="003F6265"/>
    <w:rsid w:val="00423EC5"/>
    <w:rsid w:val="00443B68"/>
    <w:rsid w:val="0049524B"/>
    <w:rsid w:val="004B64FD"/>
    <w:rsid w:val="00513986"/>
    <w:rsid w:val="005317E0"/>
    <w:rsid w:val="00537B43"/>
    <w:rsid w:val="005519B0"/>
    <w:rsid w:val="005747AC"/>
    <w:rsid w:val="005F7AAD"/>
    <w:rsid w:val="006165F5"/>
    <w:rsid w:val="00670D25"/>
    <w:rsid w:val="00672510"/>
    <w:rsid w:val="00687DA4"/>
    <w:rsid w:val="006903E7"/>
    <w:rsid w:val="006E40FF"/>
    <w:rsid w:val="006E4611"/>
    <w:rsid w:val="0077570B"/>
    <w:rsid w:val="00776E9C"/>
    <w:rsid w:val="007A1E5C"/>
    <w:rsid w:val="007D47AA"/>
    <w:rsid w:val="007E28CE"/>
    <w:rsid w:val="0082660B"/>
    <w:rsid w:val="008946FC"/>
    <w:rsid w:val="008E3B07"/>
    <w:rsid w:val="00903CB9"/>
    <w:rsid w:val="00A21E12"/>
    <w:rsid w:val="00A81966"/>
    <w:rsid w:val="00B25974"/>
    <w:rsid w:val="00B461D1"/>
    <w:rsid w:val="00B60A88"/>
    <w:rsid w:val="00B97678"/>
    <w:rsid w:val="00BD4E1E"/>
    <w:rsid w:val="00D761CA"/>
    <w:rsid w:val="00D976CE"/>
    <w:rsid w:val="00DF0A44"/>
    <w:rsid w:val="00E02E84"/>
    <w:rsid w:val="00E16C35"/>
    <w:rsid w:val="00E56ADC"/>
    <w:rsid w:val="00EA203D"/>
    <w:rsid w:val="00EA6F0F"/>
    <w:rsid w:val="00EC64CB"/>
    <w:rsid w:val="00F1300A"/>
    <w:rsid w:val="073738A0"/>
    <w:rsid w:val="08941356"/>
    <w:rsid w:val="0B883D21"/>
    <w:rsid w:val="0D0A2974"/>
    <w:rsid w:val="11584904"/>
    <w:rsid w:val="18887C75"/>
    <w:rsid w:val="19203904"/>
    <w:rsid w:val="1B645F83"/>
    <w:rsid w:val="1C237148"/>
    <w:rsid w:val="1F0D7201"/>
    <w:rsid w:val="1FE41692"/>
    <w:rsid w:val="20DC6459"/>
    <w:rsid w:val="229609B0"/>
    <w:rsid w:val="252950A3"/>
    <w:rsid w:val="279B0FE1"/>
    <w:rsid w:val="27C31990"/>
    <w:rsid w:val="280053D0"/>
    <w:rsid w:val="2AFB391C"/>
    <w:rsid w:val="2D944E6F"/>
    <w:rsid w:val="30BE4E7C"/>
    <w:rsid w:val="35E8190D"/>
    <w:rsid w:val="36A67330"/>
    <w:rsid w:val="3BA71C86"/>
    <w:rsid w:val="3E044A1A"/>
    <w:rsid w:val="3FE36BB6"/>
    <w:rsid w:val="427E5E78"/>
    <w:rsid w:val="47EC5657"/>
    <w:rsid w:val="4C364232"/>
    <w:rsid w:val="50D069F5"/>
    <w:rsid w:val="524C286E"/>
    <w:rsid w:val="53A10A14"/>
    <w:rsid w:val="558D327E"/>
    <w:rsid w:val="598255E2"/>
    <w:rsid w:val="63CE6313"/>
    <w:rsid w:val="6506111D"/>
    <w:rsid w:val="6BDD12AE"/>
    <w:rsid w:val="6D9A5011"/>
    <w:rsid w:val="730205B7"/>
    <w:rsid w:val="75AD5EC5"/>
    <w:rsid w:val="7DFD4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0</Words>
  <Characters>3</Characters>
  <Lines>1</Lines>
  <Paragraphs>1</Paragraphs>
  <TotalTime>8</TotalTime>
  <ScaleCrop>false</ScaleCrop>
  <LinksUpToDate>false</LinksUpToDate>
  <CharactersWithSpaces>3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新鲜人</cp:lastModifiedBy>
  <dcterms:modified xsi:type="dcterms:W3CDTF">2019-11-26T07:07:07Z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